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gjdgxs" w:id="0"/>
    <w:bookmarkEnd w:id="0"/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2492375</wp:posOffset>
            </wp:positionH>
            <wp:positionV relativeFrom="paragraph">
              <wp:posOffset>-464818</wp:posOffset>
            </wp:positionV>
            <wp:extent cx="746760" cy="746760"/>
            <wp:effectExtent b="0" l="0" r="0" t="0"/>
            <wp:wrapSquare wrapText="bothSides" distB="0" distT="0" distL="0" distR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252"/>
          <w:tab w:val="right" w:pos="8504"/>
        </w:tabs>
        <w:jc w:val="center"/>
        <w:rPr>
          <w:color w:val="00000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pos="-2160"/>
        </w:tabs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sz w:val="25"/>
          <w:szCs w:val="25"/>
          <w:vertAlign w:val="baseline"/>
          <w:rtl w:val="0"/>
        </w:rPr>
        <w:t xml:space="preserve">MINISTÉRIO PÚBLICO DO ESTADO DE MINAS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252"/>
          <w:tab w:val="right" w:pos="8504"/>
        </w:tabs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PROMOTORIA DE JUSTIÇA DE DEFESA DO CONSUMIDOR DA COMARCA DE MANHUAÇU</w:t>
      </w:r>
    </w:p>
    <w:p w:rsidR="00000000" w:rsidDel="00000000" w:rsidP="00000000" w:rsidRDefault="00000000" w:rsidRPr="00000000" w14:paraId="00000007">
      <w:pPr>
        <w:ind w:right="6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6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6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RECOMENDAÇÃO nº 02/2020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Procedimento Administrativo nº 0394.20.000272-0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500"/>
        </w:tabs>
        <w:spacing w:line="348" w:lineRule="auto"/>
        <w:ind w:left="260" w:right="266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 MINISTÉRIO PÚBLICO DO ESTADO DE MINAS GERAIS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pelo representante abaixo assinado, no cumprimento das atribuições constitucionais e legais, tendo em vista o surto de doença causada pelo Coronavírus caracterizado como pandemia e CONSIDERANDO que: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tabs>
          <w:tab w:val="left" w:pos="980"/>
        </w:tabs>
        <w:spacing w:line="354" w:lineRule="auto"/>
        <w:ind w:left="980" w:right="266" w:hanging="35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Incumbe ao Ministério Público ‘a defesa da ordem jurídica, do regime democrático, e dos interesses sociais e individuais indisponíveis’ (CF, art. 127,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caput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tabs>
          <w:tab w:val="left" w:pos="980"/>
        </w:tabs>
        <w:spacing w:line="356" w:lineRule="auto"/>
        <w:ind w:left="980" w:right="266" w:hanging="35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Entre as funções institucionais do Ministério Público está “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zelar pelo efetivo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respeito dos Poderes Públicos e dos serviços de relevância pública aos direitos assegurados nesta Constituição, promovendo as medidas necessárias à sua garantia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(CF, art. 129, inciso II);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tabs>
          <w:tab w:val="left" w:pos="980"/>
        </w:tabs>
        <w:spacing w:line="357" w:lineRule="auto"/>
        <w:ind w:left="980" w:right="266" w:hanging="35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saúde como direito fundamental social assegurado pela Constituição Federal, expressando prioridade a demais direitos subjetivos (CF, art. 6º), inclusive com indicação normativa de relevância pública quanto às ações e serviços (CF, art. 197);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tabs>
          <w:tab w:val="left" w:pos="980"/>
        </w:tabs>
        <w:spacing w:line="354" w:lineRule="auto"/>
        <w:ind w:left="980" w:right="266" w:hanging="35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necessidade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atendimento eficiente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quando da venda e entrega de medicamentos e fármacos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produtos essenciais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), inclusive sem delongas</w:t>
      </w:r>
    </w:p>
    <w:p w:rsidR="00000000" w:rsidDel="00000000" w:rsidP="00000000" w:rsidRDefault="00000000" w:rsidRPr="00000000" w14:paraId="00000020">
      <w:pPr>
        <w:tabs>
          <w:tab w:val="left" w:pos="980"/>
        </w:tabs>
        <w:spacing w:line="354" w:lineRule="auto"/>
        <w:ind w:left="980" w:right="266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980"/>
        </w:tabs>
        <w:spacing w:line="354" w:lineRule="auto"/>
        <w:ind w:left="980" w:right="266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980"/>
        </w:tabs>
        <w:spacing w:line="354" w:lineRule="auto"/>
        <w:ind w:left="980" w:right="266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980"/>
        </w:tabs>
        <w:spacing w:line="354" w:lineRule="auto"/>
        <w:ind w:left="980" w:right="266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980"/>
        </w:tabs>
        <w:spacing w:line="354" w:lineRule="auto"/>
        <w:ind w:left="980" w:right="266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e com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maior celeridade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tudo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conforme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bookmarkStart w:colFirst="0" w:colLast="0" w:name="30j0zll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idades, prioridades e vulnerabilidades;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2492375</wp:posOffset>
            </wp:positionH>
            <wp:positionV relativeFrom="paragraph">
              <wp:posOffset>0</wp:posOffset>
            </wp:positionV>
            <wp:extent cx="746760" cy="746760"/>
            <wp:effectExtent b="0" l="0" r="0" t="0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tabs>
          <w:tab w:val="left" w:pos="980"/>
        </w:tabs>
        <w:spacing w:line="357" w:lineRule="auto"/>
        <w:ind w:left="980" w:right="266" w:hanging="35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Cabe ao Ministério Público, para garantia e efetividade dos direitos do cidadão,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notificar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os responsáveis, tanto no âmbito dos Poderes Públicos como da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iniciativa privada, para que adotem providências necessárias ao escopo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prevenir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fazer cessar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práticas abusivas, egoísticas, díspares à solidariedade,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inclusive com eventual responsabilização penal, civil e administrativa em caso de não observância e cumprimento;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tabs>
          <w:tab w:val="left" w:pos="980"/>
        </w:tabs>
        <w:spacing w:line="348" w:lineRule="auto"/>
        <w:ind w:left="980" w:right="266" w:hanging="35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As orientações expedidas pela Organização Mundial de Saúde quanto ao COVID – 19, entre as quais estão destacadas a declaração de pandemia e medidas essenciais relativas à prevenção;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tabs>
          <w:tab w:val="left" w:pos="980"/>
        </w:tabs>
        <w:spacing w:line="356" w:lineRule="auto"/>
        <w:ind w:left="980" w:right="266" w:hanging="35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alta escalabilidade viral do COVID -19, exigente de infraestrutura hospitalar (pública e privada) adequada, com leitos suficientes e composta com aparelhos respiradores em quantidade superior à população em eventual contágio, o que está fora da realidade de qualquer centro médico deste Estado;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tabs>
          <w:tab w:val="left" w:pos="980"/>
        </w:tabs>
        <w:spacing w:line="354" w:lineRule="auto"/>
        <w:ind w:left="980" w:right="266" w:hanging="35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As demais normas secundárias (decretos e recomendações) expedidas pelo Estado de Minas Gerais e Município de Manhuaçu, especialmente no que respeita ao acesso de bens, serviços e produtos essenciais,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-713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RECOMENDA às farmácias e drogarias situadas no âmbito 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-713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competência da Comarca de Manhuaçu/MG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tabs>
          <w:tab w:val="left" w:pos="1700"/>
        </w:tabs>
        <w:spacing w:line="360" w:lineRule="auto"/>
        <w:ind w:left="1700" w:right="266" w:hanging="48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Vender, entregar e disponibilizar medicamentos e fármacos solicitados, desde que acompanhados de receituários,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ainda que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1700"/>
        </w:tabs>
        <w:spacing w:line="360" w:lineRule="auto"/>
        <w:ind w:left="1700" w:right="266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1700"/>
        </w:tabs>
        <w:spacing w:line="360" w:lineRule="auto"/>
        <w:ind w:left="1700" w:right="266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pos="1700"/>
        </w:tabs>
        <w:spacing w:line="360" w:lineRule="auto"/>
        <w:ind w:left="1700" w:right="266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2644775</wp:posOffset>
            </wp:positionH>
            <wp:positionV relativeFrom="paragraph">
              <wp:posOffset>0</wp:posOffset>
            </wp:positionV>
            <wp:extent cx="746760" cy="746760"/>
            <wp:effectExtent b="0" l="0" r="0" t="0"/>
            <wp:wrapSquare wrapText="bothSides" distB="0" distT="0" distL="0" distR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E">
      <w:pPr>
        <w:tabs>
          <w:tab w:val="left" w:pos="1700"/>
        </w:tabs>
        <w:spacing w:line="360" w:lineRule="auto"/>
        <w:ind w:left="1700" w:right="266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assinados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digitalmente pelo profissional médico</w:t>
      </w:r>
      <w:bookmarkStart w:colFirst="0" w:colLast="0" w:name="1fob9te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sem impor ao consumidor demasiados obstáculos formais quanto ao acesso a produtos necessários à garantia da qualidade de vida;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tabs>
          <w:tab w:val="left" w:pos="1700"/>
        </w:tabs>
        <w:spacing w:line="350" w:lineRule="auto"/>
        <w:ind w:left="1700" w:right="266" w:hanging="55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As vendas apenas não poderão ser concretizadas caso ausente a apresentação de receituário respectivo, desde que exigível na hipótese;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tabs>
          <w:tab w:val="left" w:pos="1700"/>
        </w:tabs>
        <w:spacing w:line="356" w:lineRule="auto"/>
        <w:ind w:left="1700" w:right="266" w:hanging="61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Para segurança do comerciante, farmacêutico e empresário o receituário deverá ser guardado ou arquivado para posterior conferência junto ao profissional médico, hospital ou operadora de saúde, fornecendo-se cópia ao consumidor;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tabs>
          <w:tab w:val="left" w:pos="1700"/>
        </w:tabs>
        <w:spacing w:line="376" w:lineRule="auto"/>
        <w:ind w:left="1700" w:right="266" w:hanging="60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Esta recomendação deve ser divulgada nos respectivos sítios eletrônicos das farmácias e drogarias, bem como afixados no próprio estabelecimento.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58" w:lineRule="auto"/>
        <w:ind w:left="260" w:right="266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partir da data de entrega desta recomendação, o Ministério Público Estadual considera seus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destinatários pessoalmente cientes da situação exposta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e, nestes termos, passíveis de responsabilização, por quaisquer eventos futuros correspectivos ao incumprimento. Além disso, a presente recomendação não esgota a atuação do Ministério Público sobre o tema, não excluindo futuras recomendações ou outras iniciativas com relação aos fatos expostos.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26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Manhuaçu, 26 de março de 2020.</w:t>
      </w:r>
    </w:p>
    <w:p w:rsidR="00000000" w:rsidDel="00000000" w:rsidP="00000000" w:rsidRDefault="00000000" w:rsidRPr="00000000" w14:paraId="00000050">
      <w:pPr>
        <w:ind w:left="26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26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26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Geannini Maelli Mota Miranda</w:t>
      </w:r>
    </w:p>
    <w:p w:rsidR="00000000" w:rsidDel="00000000" w:rsidP="00000000" w:rsidRDefault="00000000" w:rsidRPr="00000000" w14:paraId="00000053">
      <w:pPr>
        <w:ind w:left="26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Promotora de Justiça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0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2"/>
      <w:numFmt w:val="lowerRoman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4">
    <w:lvl w:ilvl="0">
      <w:start w:val="5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