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442" w:rsidRDefault="00B13C51">
      <w:pPr>
        <w:pStyle w:val="Standard"/>
        <w:rPr>
          <w:color w:val="201F1E"/>
        </w:rPr>
      </w:pPr>
      <w:r>
        <w:rPr>
          <w:color w:val="201F1E"/>
        </w:rPr>
        <w:t>  </w:t>
      </w:r>
    </w:p>
    <w:p w:rsidR="00E73442" w:rsidRPr="00E73442" w:rsidRDefault="00B13C51" w:rsidP="00E73442">
      <w:pPr>
        <w:pStyle w:val="Standard"/>
        <w:jc w:val="center"/>
        <w:rPr>
          <w:rFonts w:ascii="Arial" w:hAnsi="Arial" w:cs="Arial"/>
        </w:rPr>
      </w:pPr>
      <w:r w:rsidRPr="00E73442">
        <w:rPr>
          <w:rFonts w:ascii="Arial" w:hAnsi="Arial" w:cs="Arial"/>
          <w:b/>
          <w:color w:val="201F1E"/>
        </w:rPr>
        <w:t>RECOMENDAÇÃO Nº 01/2020</w:t>
      </w:r>
      <w:r w:rsidRPr="00E73442">
        <w:rPr>
          <w:rFonts w:ascii="Arial" w:hAnsi="Arial" w:cs="Arial"/>
          <w:b/>
        </w:rPr>
        <w:br/>
      </w:r>
    </w:p>
    <w:p w:rsidR="00E73442" w:rsidRDefault="00E73442" w:rsidP="00E73442">
      <w:pPr>
        <w:pStyle w:val="Standard"/>
        <w:spacing w:line="360" w:lineRule="auto"/>
        <w:jc w:val="both"/>
        <w:rPr>
          <w:rFonts w:ascii="Arial" w:hAnsi="Arial" w:cs="Arial"/>
          <w:color w:val="201F1E"/>
        </w:rPr>
      </w:pPr>
    </w:p>
    <w:p w:rsidR="00D355B6" w:rsidRDefault="00E73442" w:rsidP="00E73442">
      <w:pPr>
        <w:pStyle w:val="Standard"/>
        <w:spacing w:line="360" w:lineRule="auto"/>
        <w:jc w:val="both"/>
        <w:rPr>
          <w:rFonts w:ascii="Arial" w:hAnsi="Arial" w:cs="Arial"/>
        </w:rPr>
      </w:pPr>
      <w:r w:rsidRPr="00E73442">
        <w:rPr>
          <w:rFonts w:ascii="Arial" w:hAnsi="Arial" w:cs="Arial"/>
          <w:color w:val="201F1E"/>
        </w:rPr>
        <w:t xml:space="preserve">Geannini </w:t>
      </w:r>
      <w:proofErr w:type="spellStart"/>
      <w:r w:rsidRPr="00E73442">
        <w:rPr>
          <w:rFonts w:ascii="Arial" w:hAnsi="Arial" w:cs="Arial"/>
          <w:color w:val="201F1E"/>
        </w:rPr>
        <w:t>Maelli</w:t>
      </w:r>
      <w:proofErr w:type="spellEnd"/>
      <w:r w:rsidRPr="00E73442">
        <w:rPr>
          <w:rFonts w:ascii="Arial" w:hAnsi="Arial" w:cs="Arial"/>
          <w:color w:val="201F1E"/>
        </w:rPr>
        <w:t xml:space="preserve"> Mota Miranda</w:t>
      </w:r>
      <w:r w:rsidR="00B13C51" w:rsidRPr="00E73442">
        <w:rPr>
          <w:rFonts w:ascii="Arial" w:hAnsi="Arial" w:cs="Arial"/>
          <w:color w:val="201F1E"/>
        </w:rPr>
        <w:t>, Promotor</w:t>
      </w:r>
      <w:r w:rsidRPr="00E73442">
        <w:rPr>
          <w:rFonts w:ascii="Arial" w:hAnsi="Arial" w:cs="Arial"/>
          <w:color w:val="201F1E"/>
        </w:rPr>
        <w:t>a</w:t>
      </w:r>
      <w:r w:rsidR="00B13C51" w:rsidRPr="00E73442">
        <w:rPr>
          <w:rFonts w:ascii="Arial" w:hAnsi="Arial" w:cs="Arial"/>
          <w:color w:val="201F1E"/>
        </w:rPr>
        <w:t xml:space="preserve"> de Justiça de Defesa do Consumidor da Comarca de </w:t>
      </w:r>
      <w:r w:rsidR="005D061A">
        <w:rPr>
          <w:rFonts w:ascii="Arial" w:hAnsi="Arial" w:cs="Arial"/>
          <w:color w:val="201F1E"/>
        </w:rPr>
        <w:t>Manhuaçu</w:t>
      </w:r>
      <w:r w:rsidR="00B13C51" w:rsidRPr="00E73442">
        <w:rPr>
          <w:rFonts w:ascii="Arial" w:hAnsi="Arial" w:cs="Arial"/>
          <w:color w:val="201F1E"/>
        </w:rPr>
        <w:t>,</w:t>
      </w:r>
      <w:r w:rsidR="005D061A">
        <w:rPr>
          <w:rFonts w:ascii="Arial" w:hAnsi="Arial" w:cs="Arial"/>
          <w:color w:val="201F1E"/>
        </w:rPr>
        <w:t xml:space="preserve"> no</w:t>
      </w:r>
      <w:r w:rsidR="00B13C51" w:rsidRPr="00E73442">
        <w:rPr>
          <w:rFonts w:ascii="Arial" w:hAnsi="Arial" w:cs="Arial"/>
          <w:color w:val="201F1E"/>
        </w:rPr>
        <w:t xml:space="preserve"> uso de suas atribuições legais, e, em especial, com fundamento nos artigos 67, inciso VI, da Lei Complementar nº 34/1994, e 3º, §2º, da Resolução</w:t>
      </w:r>
      <w:r w:rsidRPr="00E73442">
        <w:rPr>
          <w:rFonts w:ascii="Arial" w:hAnsi="Arial" w:cs="Arial"/>
          <w:color w:val="201F1E"/>
        </w:rPr>
        <w:t xml:space="preserve"> CNMP nº 164/2017</w:t>
      </w:r>
      <w:r w:rsidR="00B13C51" w:rsidRPr="00E73442">
        <w:rPr>
          <w:rFonts w:ascii="Arial" w:hAnsi="Arial" w:cs="Arial"/>
          <w:color w:val="201F1E"/>
        </w:rPr>
        <w:t>,</w:t>
      </w:r>
      <w:r w:rsidR="005D061A">
        <w:rPr>
          <w:rFonts w:ascii="Arial" w:hAnsi="Arial" w:cs="Arial"/>
          <w:color w:val="201F1E"/>
        </w:rPr>
        <w:t> </w:t>
      </w:r>
      <w:bookmarkStart w:id="0" w:name="_GoBack"/>
      <w:bookmarkEnd w:id="0"/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  <w:color w:val="201F1E"/>
        </w:rPr>
        <w:t>CONSIDERANDO:</w:t>
      </w:r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  <w:color w:val="201F1E"/>
        </w:rPr>
        <w:t>1º) a promoção da defesa do consumidor, como um direito fundamental da pessoa humana (CF, art. 5º, XXXII);</w:t>
      </w:r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  <w:color w:val="201F1E"/>
        </w:rPr>
        <w:t>2º) a defesa do consumidor, como princípio da ordem econômica, fundada na valorização do trabalho humano e na livre iniciativa, cuja finalidade é garantir a todos existência digna, conforme os ditames da justiça social (CF, art. 170, V);</w:t>
      </w:r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  <w:color w:val="201F1E"/>
        </w:rPr>
        <w:t>3º) o Código do Consumidor, como conjunto de normas de proteção e defesa do consumidor, de ordem pública e interesse social (CF, ADCT, art. 48; Lei nº 8.078/1990, art. 1º);</w:t>
      </w:r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  <w:color w:val="201F1E"/>
        </w:rPr>
        <w:t>4º) o atendimento das necessidades dos consumidores, como objetivo geral da Política Nacional das Relações de Consumo (CDC, art. 4º);</w:t>
      </w:r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  <w:color w:val="201F1E"/>
        </w:rPr>
        <w:t>5º) a proteção da dignidade, da saúde e segurança e dos interesses econômicos dos consumidores, como objetivos específicos da Política Nacional das Relações de Consumo (CDC, art. 4º);</w:t>
      </w:r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  <w:color w:val="201F1E"/>
        </w:rPr>
        <w:t>6º) o reconhecimento da vulnerabilidade do consumidor, como um dos princípios da Política Nacional de Relações de Consumo (CDC, art. 4º, I);</w:t>
      </w:r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  <w:color w:val="201F1E"/>
        </w:rPr>
        <w:t>7º) a harmonização dos interesses dos participantes das relações de consumo e a compatibilização da proteção do consumidor com a necessidade de desenvolvimento econômico e tecnológico, como diretriz da Política Nacional de Relações de Consumo, de modo a viabilizar os princípios nos quais se funda a ordem econômica (CF, art. 170), sempre com base na boa-fé e equilíbrio nas relações entre consumidores e fornecedores; e</w:t>
      </w:r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  <w:color w:val="201F1E"/>
        </w:rPr>
        <w:t>8º) a necessidade de atendimento das demandas dos consumidores de produtos e serviços (CDC, art. 39, II e IX);</w:t>
      </w:r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  <w:color w:val="201F1E"/>
        </w:rPr>
        <w:t xml:space="preserve">9º) a necessidade de garantir a dignidade da pessoa humana, como um dos fundamentos </w:t>
      </w:r>
      <w:r w:rsidR="00B13C51" w:rsidRPr="00E73442">
        <w:rPr>
          <w:rFonts w:ascii="Arial" w:hAnsi="Arial" w:cs="Arial"/>
          <w:color w:val="201F1E"/>
        </w:rPr>
        <w:lastRenderedPageBreak/>
        <w:t>da República Federativa do Brasil (CF, art. 1º, III);</w:t>
      </w:r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  <w:color w:val="201F1E"/>
        </w:rPr>
        <w:t>10) a necessidade de as pessoas físicas e jurídicas agirem na busca de uma sociedade, livre, justa e solidária, como um dos objetivos da República Federativa do Brasil (CF, art. 3º, I);</w:t>
      </w:r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  <w:color w:val="201F1E"/>
        </w:rPr>
        <w:t xml:space="preserve">11) a premente necessidade de garantir o acesso à agua potável, para alimentação e higiene das pessoas, para prevenir a doença causada pelo novo </w:t>
      </w:r>
      <w:proofErr w:type="spellStart"/>
      <w:r w:rsidR="00B13C51" w:rsidRPr="00E73442">
        <w:rPr>
          <w:rFonts w:ascii="Arial" w:hAnsi="Arial" w:cs="Arial"/>
          <w:color w:val="201F1E"/>
        </w:rPr>
        <w:t>Coronavírus</w:t>
      </w:r>
      <w:proofErr w:type="spellEnd"/>
      <w:r w:rsidR="00B13C51" w:rsidRPr="00E73442">
        <w:rPr>
          <w:rFonts w:ascii="Arial" w:hAnsi="Arial" w:cs="Arial"/>
          <w:color w:val="201F1E"/>
        </w:rPr>
        <w:t xml:space="preserve"> (2019-nCov), que se transformou em pandemia;</w:t>
      </w:r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  <w:color w:val="201F1E"/>
        </w:rPr>
        <w:t>12) a restrição crescente do direito de ir e vir das pessoas, em Minas Gerais, no país e no mundo, o que já repercute economicamente na vida das empresas e dos trabalhadores, afetando a capacidade de as famílias pagarem as suas obrigações, e, em especial, as tarifas de abastecimento sanitário e esgotamento sanitário;</w:t>
      </w:r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  <w:color w:val="201F1E"/>
        </w:rPr>
        <w:t>13) a possibilidade de corte do serviço de abastecimento de água, havendo inadimplência do usuário, observado o devido processo legal, desde que “considerado o interesse da coletividade”, em razão do princípio da continuidade do serviço público, e por se tratar, o direito à agua potável, de um direito fundamental da pessoal humana, segundo dispõe a lei federal de concessões de serviços públicos (Lei nº 8.897/95, art. 6º, § 3º, II);</w:t>
      </w:r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  <w:color w:val="201F1E"/>
        </w:rPr>
        <w:t>14) a possibilidade de interrupção do serviço de abastecimento de água, havendo inadimplência do usuário, observado o devido processo legal, desde que obedecidos “prazos e critérios que preservem condições mínimas de manutenção da saúde das pessoas atingidas”, como ocorre nos casos de “estabelecimentos de saúde”, “instituições educacionais e de internação coletiva de pessoas” e com o “usuário residencial de baixa renda beneficiário de tarifa social”, segundo dispõe a diretriz nacional prevista na lei federal de saneamento básico (Lei nº 11.445/07, art. 40, § 3º);</w:t>
      </w:r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  <w:color w:val="201F1E"/>
        </w:rPr>
        <w:t xml:space="preserve">15) a necessidade de resguardar a saúde e segurança de todos os usuários do serviço de abastecimento de água, e não de um grupo, categoria ou classe de pessoas apenas (interesse coletivo), pois a prevenção e combate à pandemia do novo </w:t>
      </w:r>
      <w:proofErr w:type="spellStart"/>
      <w:r w:rsidR="00B13C51" w:rsidRPr="00E73442">
        <w:rPr>
          <w:rFonts w:ascii="Arial" w:hAnsi="Arial" w:cs="Arial"/>
          <w:color w:val="201F1E"/>
        </w:rPr>
        <w:t>Coronavírus</w:t>
      </w:r>
      <w:proofErr w:type="spellEnd"/>
      <w:r w:rsidR="00B13C51" w:rsidRPr="00E73442">
        <w:rPr>
          <w:rFonts w:ascii="Arial" w:hAnsi="Arial" w:cs="Arial"/>
          <w:color w:val="201F1E"/>
        </w:rPr>
        <w:t xml:space="preserve"> (2019-nCov), representa, enquanto durar essa situação, verdadeiro interesse público,</w:t>
      </w:r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</w:rPr>
        <w:br/>
      </w:r>
      <w:r w:rsidR="00B13C51" w:rsidRPr="00D355B6">
        <w:rPr>
          <w:rFonts w:ascii="Arial" w:hAnsi="Arial" w:cs="Arial"/>
          <w:b/>
          <w:color w:val="201F1E"/>
        </w:rPr>
        <w:t>RECOMENDA ao</w:t>
      </w:r>
      <w:r w:rsidR="005D061A">
        <w:rPr>
          <w:rFonts w:ascii="Arial" w:hAnsi="Arial" w:cs="Arial"/>
          <w:b/>
          <w:color w:val="201F1E"/>
        </w:rPr>
        <w:t>s</w:t>
      </w:r>
      <w:r w:rsidR="00B13C51" w:rsidRPr="00D355B6">
        <w:rPr>
          <w:rFonts w:ascii="Arial" w:hAnsi="Arial" w:cs="Arial"/>
          <w:b/>
          <w:color w:val="201F1E"/>
        </w:rPr>
        <w:t xml:space="preserve"> Diretor</w:t>
      </w:r>
      <w:r w:rsidR="005D061A">
        <w:rPr>
          <w:rFonts w:ascii="Arial" w:hAnsi="Arial" w:cs="Arial"/>
          <w:b/>
          <w:color w:val="201F1E"/>
        </w:rPr>
        <w:t xml:space="preserve">es das autarquias/empresas de abastecimento municipal e água, </w:t>
      </w:r>
      <w:r w:rsidR="005D061A" w:rsidRPr="005D061A">
        <w:rPr>
          <w:rFonts w:ascii="Arial" w:hAnsi="Arial" w:cs="Arial"/>
          <w:color w:val="201F1E"/>
        </w:rPr>
        <w:t>a</w:t>
      </w:r>
      <w:r w:rsidR="00B13C51" w:rsidRPr="00E73442">
        <w:rPr>
          <w:rFonts w:ascii="Arial" w:hAnsi="Arial" w:cs="Arial"/>
          <w:color w:val="201F1E"/>
        </w:rPr>
        <w:t>s seguintes providências:</w:t>
      </w:r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  <w:color w:val="201F1E"/>
        </w:rPr>
        <w:t xml:space="preserve">I)      Elaborar plano de emergência e de contingência específico em cada município ou </w:t>
      </w:r>
      <w:r w:rsidR="00B13C51" w:rsidRPr="00E73442">
        <w:rPr>
          <w:rFonts w:ascii="Arial" w:hAnsi="Arial" w:cs="Arial"/>
          <w:color w:val="201F1E"/>
        </w:rPr>
        <w:lastRenderedPageBreak/>
        <w:t xml:space="preserve">localidade atendida, visando a proteção da vida, saúde e segurança dos usuários do serviço de saneamento básico, para enfrentamento e contenção da pandemia do novo </w:t>
      </w:r>
      <w:proofErr w:type="spellStart"/>
      <w:r w:rsidR="00B13C51" w:rsidRPr="00E73442">
        <w:rPr>
          <w:rFonts w:ascii="Arial" w:hAnsi="Arial" w:cs="Arial"/>
          <w:color w:val="201F1E"/>
        </w:rPr>
        <w:t>Coronavírus</w:t>
      </w:r>
      <w:proofErr w:type="spellEnd"/>
      <w:r w:rsidR="00B13C51" w:rsidRPr="00E73442">
        <w:rPr>
          <w:rFonts w:ascii="Arial" w:hAnsi="Arial" w:cs="Arial"/>
          <w:color w:val="201F1E"/>
        </w:rPr>
        <w:t xml:space="preserve"> (2019-nCov), pois garantir o acesso à água potável é indispensável para as famílias ficarem em casa e adotarem as boas práticas de prevenção da doença, no prazo de 05 (cinco) dias (Resolução ARSAE-MG nº 40/2013, art. 5º);  </w:t>
      </w:r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  <w:color w:val="201F1E"/>
        </w:rPr>
        <w:t>II)     Suspender, imediata e preventivamente, enquanto perdurar a situação de pandemia, as ordens de serviço de cortes no abastecimento de água dos usuários, independentemente do motivo, objetivando a proteção da vida, saúde e segurança da população mineira, dos riscos de contágio da doença;</w:t>
      </w:r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  <w:color w:val="201F1E"/>
        </w:rPr>
        <w:t>III)    Informar a população, da forma mais efetiva possível, sobre as medidas adotadas, tendo como referência as normas do órgão regulador.</w:t>
      </w:r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</w:rPr>
        <w:br/>
      </w:r>
      <w:r w:rsidR="00B13C51" w:rsidRPr="00E73442">
        <w:rPr>
          <w:rFonts w:ascii="Arial" w:hAnsi="Arial" w:cs="Arial"/>
          <w:color w:val="201F1E"/>
        </w:rPr>
        <w:t>Comunique-se o teor da presente recomendação, via e-mail, ao seu destinatário, assinando o prazo de 02 (dois) dias para a sua resposta, em função da urgência que o caso requer.</w:t>
      </w:r>
      <w:r w:rsidR="00B13C51" w:rsidRPr="00E73442">
        <w:rPr>
          <w:rFonts w:ascii="Arial" w:hAnsi="Arial" w:cs="Arial"/>
        </w:rPr>
        <w:br/>
      </w:r>
    </w:p>
    <w:p w:rsidR="00D355B6" w:rsidRDefault="00B13C51" w:rsidP="00D355B6">
      <w:pPr>
        <w:pStyle w:val="Standard"/>
        <w:spacing w:line="360" w:lineRule="auto"/>
        <w:jc w:val="center"/>
        <w:rPr>
          <w:rFonts w:ascii="Arial" w:hAnsi="Arial" w:cs="Arial"/>
          <w:color w:val="201F1E"/>
        </w:rPr>
      </w:pPr>
      <w:r w:rsidRPr="00E73442">
        <w:rPr>
          <w:rFonts w:ascii="Arial" w:hAnsi="Arial" w:cs="Arial"/>
        </w:rPr>
        <w:br/>
      </w:r>
      <w:r w:rsidRPr="00E73442">
        <w:rPr>
          <w:rFonts w:ascii="Arial" w:hAnsi="Arial" w:cs="Arial"/>
          <w:color w:val="201F1E"/>
        </w:rPr>
        <w:t>Cumpra-se, na forma legal.</w:t>
      </w:r>
      <w:r w:rsidRPr="00E73442">
        <w:rPr>
          <w:rFonts w:ascii="Arial" w:hAnsi="Arial" w:cs="Arial"/>
        </w:rPr>
        <w:br/>
      </w:r>
      <w:r w:rsidRPr="00E73442">
        <w:rPr>
          <w:rFonts w:ascii="Arial" w:hAnsi="Arial" w:cs="Arial"/>
        </w:rPr>
        <w:br/>
      </w:r>
      <w:r w:rsidR="00D355B6">
        <w:rPr>
          <w:rFonts w:ascii="Arial" w:hAnsi="Arial" w:cs="Arial"/>
          <w:color w:val="201F1E"/>
        </w:rPr>
        <w:t xml:space="preserve">Manhuaçu, 24 </w:t>
      </w:r>
      <w:r w:rsidRPr="00E73442">
        <w:rPr>
          <w:rFonts w:ascii="Arial" w:hAnsi="Arial" w:cs="Arial"/>
          <w:color w:val="201F1E"/>
        </w:rPr>
        <w:t>de março de 2020.</w:t>
      </w:r>
      <w:r w:rsidRPr="00E73442">
        <w:rPr>
          <w:rFonts w:ascii="Arial" w:hAnsi="Arial" w:cs="Arial"/>
        </w:rPr>
        <w:br/>
      </w:r>
      <w:r w:rsidRPr="00E73442">
        <w:rPr>
          <w:rFonts w:ascii="Arial" w:hAnsi="Arial" w:cs="Arial"/>
        </w:rPr>
        <w:br/>
      </w:r>
      <w:r w:rsidR="00D355B6">
        <w:rPr>
          <w:rFonts w:ascii="Arial" w:hAnsi="Arial" w:cs="Arial"/>
          <w:color w:val="201F1E"/>
        </w:rPr>
        <w:t xml:space="preserve">Geannini </w:t>
      </w:r>
      <w:proofErr w:type="spellStart"/>
      <w:r w:rsidR="00D355B6">
        <w:rPr>
          <w:rFonts w:ascii="Arial" w:hAnsi="Arial" w:cs="Arial"/>
          <w:color w:val="201F1E"/>
        </w:rPr>
        <w:t>Maelli</w:t>
      </w:r>
      <w:proofErr w:type="spellEnd"/>
      <w:r w:rsidR="00D355B6">
        <w:rPr>
          <w:rFonts w:ascii="Arial" w:hAnsi="Arial" w:cs="Arial"/>
          <w:color w:val="201F1E"/>
        </w:rPr>
        <w:t xml:space="preserve"> Mota Miranda</w:t>
      </w:r>
    </w:p>
    <w:p w:rsidR="007E3728" w:rsidRPr="00E73442" w:rsidRDefault="00D355B6" w:rsidP="00D355B6">
      <w:pPr>
        <w:pStyle w:val="Standard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201F1E"/>
        </w:rPr>
        <w:t>Promotora de Justiça</w:t>
      </w:r>
    </w:p>
    <w:sectPr w:rsidR="007E3728" w:rsidRPr="00E73442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363" w:rsidRDefault="00AF7363">
      <w:pPr>
        <w:rPr>
          <w:rFonts w:hint="eastAsia"/>
        </w:rPr>
      </w:pPr>
      <w:r>
        <w:separator/>
      </w:r>
    </w:p>
  </w:endnote>
  <w:endnote w:type="continuationSeparator" w:id="0">
    <w:p w:rsidR="00AF7363" w:rsidRDefault="00AF73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363" w:rsidRDefault="00AF736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F7363" w:rsidRDefault="00AF736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442" w:rsidRDefault="00E73442" w:rsidP="00E73442">
    <w:pPr>
      <w:pStyle w:val="Cabealho"/>
      <w:jc w:val="center"/>
    </w:pPr>
    <w:r w:rsidRPr="00E73442">
      <w:drawing>
        <wp:inline distT="0" distB="0" distL="0" distR="0" wp14:anchorId="1DFCEECF" wp14:editId="2B24399C">
          <wp:extent cx="2333625" cy="89637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9069" cy="913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3442" w:rsidRPr="00E73442" w:rsidRDefault="00E73442" w:rsidP="00E73442">
    <w:pPr>
      <w:pStyle w:val="Cabealho"/>
      <w:jc w:val="center"/>
      <w:rPr>
        <w:sz w:val="20"/>
        <w:szCs w:val="20"/>
      </w:rPr>
    </w:pPr>
    <w:r w:rsidRPr="00E73442">
      <w:rPr>
        <w:sz w:val="20"/>
        <w:szCs w:val="20"/>
      </w:rPr>
      <w:t xml:space="preserve">            2ª Promotoria de Justiça da Comarca de Manhuaçu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28"/>
    <w:rsid w:val="000F1EF7"/>
    <w:rsid w:val="00151E03"/>
    <w:rsid w:val="002F41D0"/>
    <w:rsid w:val="003D2779"/>
    <w:rsid w:val="00434B94"/>
    <w:rsid w:val="005D061A"/>
    <w:rsid w:val="007823E5"/>
    <w:rsid w:val="007E3728"/>
    <w:rsid w:val="00AF7363"/>
    <w:rsid w:val="00B13C51"/>
    <w:rsid w:val="00B62E0E"/>
    <w:rsid w:val="00C861AC"/>
    <w:rsid w:val="00D355B6"/>
    <w:rsid w:val="00DE10A6"/>
    <w:rsid w:val="00E41ADB"/>
    <w:rsid w:val="00E7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E68B3-4BCA-4635-9A28-7ED7CE10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E73442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E73442"/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E73442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E73442"/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61A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61A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832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Público do Estado de Minas Gerais - MPMG</Company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Castro Machado</dc:creator>
  <cp:lastModifiedBy>Administrador</cp:lastModifiedBy>
  <cp:revision>4</cp:revision>
  <cp:lastPrinted>2020-03-24T17:55:00Z</cp:lastPrinted>
  <dcterms:created xsi:type="dcterms:W3CDTF">2020-03-24T15:19:00Z</dcterms:created>
  <dcterms:modified xsi:type="dcterms:W3CDTF">2020-03-24T20:14:00Z</dcterms:modified>
</cp:coreProperties>
</file>